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Georgia" w:hAnsi="Georgia" w:cs="Georgia"/>
          <w:sz w:val="42"/>
          <w:sz-cs w:val="42"/>
          <w:b/>
          <w:spacing w:val="0"/>
        </w:rPr>
        <w:t xml:space="preserve">Plantilla de reglamento interno de condominio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i/>
          <w:spacing w:val="0"/>
        </w:rPr>
        <w:t xml:space="preserve">Versión editable de la plantilla publicada por Communeo en https://www.communeo.io/es/blog/reglamento-interno-condominio-plantilla</w:t>
      </w:r>
      <w:r>
        <w:rPr>
          <w:rFonts w:ascii="Georgia" w:hAnsi="Georgia" w:cs="Georgia"/>
          <w:sz w:val="29"/>
          <w:sz-cs w:val="29"/>
          <w:spacing w:val="0"/>
        </w:rPr>
        <w:t xml:space="preserve"/>
      </w:r>
    </w:p>
    <w:p>
      <w:pPr>
        <w:spacing w:after="266"/>
      </w:pPr>
      <w:r>
        <w:rPr>
          <w:rFonts w:ascii="Georgia" w:hAnsi="Georgia" w:cs="Georgia"/>
          <w:sz w:val="29"/>
          <w:sz-cs w:val="29"/>
          <w:i/>
          <w:spacing w:val="0"/>
        </w:rPr>
        <w:t xml:space="preserve">Esto es material informativo, no asesoría legal.</w:t>
      </w:r>
      <w:r>
        <w:rPr>
          <w:rFonts w:ascii="Georgia" w:hAnsi="Georgia" w:cs="Georgia"/>
          <w:sz w:val="29"/>
          <w:sz-cs w:val="29"/>
          <w:spacing w:val="0"/>
        </w:rPr>
        <w:t xml:space="preserve"/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Todo lo que va entre corchetes [ ] es un dato tuyo, y las decisiones que dependen de la ley de tu estado están marcadas como tales.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Tres advertencias antes de copiarla, y van en serio:</w:t>
      </w:r>
    </w:p>
    <w:p>
      <w:pPr>
        <w:ind w:left="720" w:first-line="-720"/>
        <w:spacing w:after="160"/>
      </w:pPr>
      <w:r>
        <w:rPr>
          <w:rFonts w:ascii="Georgia" w:hAnsi="Georgia" w:cs="Georgia"/>
          <w:sz w:val="29"/>
          <w:sz-cs w:val="29"/>
          <w:b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29"/>
          <w:sz-cs w:val="29"/>
          <w:b/>
          <w:spacing w:val="0"/>
        </w:rPr>
        <w:t xml:space="preserve">No la apruebes tal cual.</w:t>
      </w:r>
      <w:r>
        <w:rPr>
          <w:rFonts w:ascii="Georgia" w:hAnsi="Georgia" w:cs="Georgia"/>
          <w:sz w:val="29"/>
          <w:sz-cs w:val="29"/>
          <w:spacing w:val="0"/>
        </w:rPr>
        <w:t xml:space="preserve"> Es un punto de partida, no un documento terminado. Recórrela con tu escritura constitutiva al lado y con la ley de tu estado.</w:t>
      </w:r>
    </w:p>
    <w:p>
      <w:pPr>
        <w:ind w:left="720" w:first-line="-720"/>
        <w:spacing w:after="160"/>
      </w:pPr>
      <w:r>
        <w:rPr>
          <w:rFonts w:ascii="Georgia" w:hAnsi="Georgia" w:cs="Georgia"/>
          <w:sz w:val="29"/>
          <w:sz-cs w:val="29"/>
          <w:b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29"/>
          <w:sz-cs w:val="29"/>
          <w:b/>
          <w:spacing w:val="0"/>
        </w:rPr>
        <w:t xml:space="preserve">Revísala con un notario o abogado local</w:t>
      </w:r>
      <w:r>
        <w:rPr>
          <w:rFonts w:ascii="Georgia" w:hAnsi="Georgia" w:cs="Georgia"/>
          <w:sz w:val="29"/>
          <w:sz-cs w:val="29"/>
          <w:spacing w:val="0"/>
        </w:rPr>
        <w:t xml:space="preserve"> antes de llevarla a asamblea. Las mayorías, los plazos y los porcentajes cambian por entidad; los de esta guía son de referencia.</w:t>
      </w:r>
    </w:p>
    <w:p>
      <w:pPr>
        <w:ind w:left="720" w:first-line="-720"/>
        <w:spacing w:after="160"/>
      </w:pPr>
      <w:r>
        <w:rPr>
          <w:rFonts w:ascii="Georgia" w:hAnsi="Georgia" w:cs="Georgia"/>
          <w:sz w:val="29"/>
          <w:sz-cs w:val="29"/>
          <w:b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29"/>
          <w:sz-cs w:val="29"/>
          <w:b/>
          <w:spacing w:val="0"/>
        </w:rPr>
        <w:t xml:space="preserve">Bórrale lo que no aplique.</w:t>
      </w:r>
      <w:r>
        <w:rPr>
          <w:rFonts w:ascii="Georgia" w:hAnsi="Georgia" w:cs="Georgia"/>
          <w:sz w:val="29"/>
          <w:sz-cs w:val="29"/>
          <w:spacing w:val="0"/>
        </w:rPr>
        <w:t xml:space="preserve"> Un reglamento con secciones que tu condominio no tiene (alberca, salón, gimnasio) genera más confusión que orden.</w:t>
      </w:r>
    </w:p>
    <w:p>
      <w:pPr/>
      <w:r>
        <w:rPr>
          <w:rFonts w:ascii="Georgia" w:hAnsi="Georgia" w:cs="Georgia"/>
          <w:sz w:val="29"/>
          <w:sz-cs w:val="29"/>
          <w:spacing w:val="0"/>
          <w:color w:val="6D6D6D"/>
        </w:rPr>
        <w:t xml:space="preserve"/>
      </w:r>
    </w:p>
    <w:p>
      <w:pPr>
        <w:spacing w:after="285"/>
      </w:pPr>
      <w:r>
        <w:rPr>
          <w:rFonts w:ascii="Georgia" w:hAnsi="Georgia" w:cs="Georgia"/>
          <w:sz w:val="42"/>
          <w:sz-cs w:val="42"/>
          <w:b/>
          <w:spacing w:val="0"/>
        </w:rPr>
        <w:t xml:space="preserve">REGLAMENTO INTERNO DEL CONDOMINIO [NOMBRE DEL CONDOMINIO]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Domicilio</w:t>
      </w:r>
      <w:r>
        <w:rPr>
          <w:rFonts w:ascii="Georgia" w:hAnsi="Georgia" w:cs="Georgia"/>
          <w:sz w:val="29"/>
          <w:sz-cs w:val="29"/>
          <w:spacing w:val="0"/>
        </w:rPr>
        <w:t xml:space="preserve">: [calle y número, colonia, alcaldía/municipio, estado]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Escritura constitutiva</w:t>
      </w:r>
      <w:r>
        <w:rPr>
          <w:rFonts w:ascii="Georgia" w:hAnsi="Georgia" w:cs="Georgia"/>
          <w:sz w:val="29"/>
          <w:sz-cs w:val="29"/>
          <w:spacing w:val="0"/>
        </w:rPr>
        <w:t xml:space="preserve">: instrumento [número], otorgado ante la fe del notario público [número] de [entidad], licenciado(a) [nombre], inscrito en el Registro Público de la Propiedad bajo el folio [folio].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Aprobado en asamblea</w:t>
      </w:r>
      <w:r>
        <w:rPr>
          <w:rFonts w:ascii="Georgia" w:hAnsi="Georgia" w:cs="Georgia"/>
          <w:sz w:val="29"/>
          <w:sz-cs w:val="29"/>
          <w:spacing w:val="0"/>
        </w:rPr>
        <w:t xml:space="preserve">: [tipo de asamblea] celebrada el [fecha], con [porcentaje] de votos a favor.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Ley aplicable</w:t>
      </w:r>
      <w:r>
        <w:rPr>
          <w:rFonts w:ascii="Georgia" w:hAnsi="Georgia" w:cs="Georgia"/>
          <w:sz w:val="29"/>
          <w:sz-cs w:val="29"/>
          <w:spacing w:val="0"/>
        </w:rPr>
        <w:t xml:space="preserve">: [nombre oficial de la ley de condominios de tu estado].</w:t>
      </w:r>
    </w:p>
    <w:p>
      <w:pPr>
        <w:spacing w:after="287"/>
      </w:pPr>
      <w:r>
        <w:rPr>
          <w:rFonts w:ascii="Georgia" w:hAnsi="Georgia" w:cs="Georgia"/>
          <w:sz w:val="34"/>
          <w:sz-cs w:val="34"/>
          <w:b/>
          <w:spacing w:val="0"/>
        </w:rPr>
        <w:t xml:space="preserve">Capítulo I — Disposiciones generales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1.1 El presente reglamento regula el uso de las áreas y bienes comunes, y establece las bases de convivencia del condominio. Complementa y especifica —sin contravenirlas— las disposiciones de [ley aplicable], su reglamento y la escritura constitutiva.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1.2 Es obligatorio para condóminos, poseedores, arrendatarios, familiares, empleados domésticos, visitantes, proveedores y cualquier persona que ingrese al condominio. El condómino responde por el cumplimiento de quienes ingresen por su cuenta.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1.3 En caso de contradicción entre este reglamento y la ley o la escritura constitutiva, prevalecen estas últimas.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1.4 Ninguna disposición de este reglamento podrá interpretarse o aplicarse de forma que discrimine a persona alguna por origen étnico o nacional, apariencia física, color de piel, lengua, género, edad, discapacidad, condición social o de salud, embarazo, religión, situación migratoria, opiniones, preferencias u orientación sexual, identidad o expresión de género, características sexuales, estado civil o cualquier otra que atente contra la dignidad humana.</w:t>
      </w:r>
    </w:p>
    <w:p>
      <w:pPr>
        <w:spacing w:after="287"/>
      </w:pPr>
      <w:r>
        <w:rPr>
          <w:rFonts w:ascii="Georgia" w:hAnsi="Georgia" w:cs="Georgia"/>
          <w:sz w:val="34"/>
          <w:sz-cs w:val="34"/>
          <w:b/>
          <w:spacing w:val="0"/>
        </w:rPr>
        <w:t xml:space="preserve">Capítulo II — Órganos del condominio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2.1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Asamblea general.</w:t>
      </w:r>
      <w:r>
        <w:rPr>
          <w:rFonts w:ascii="Georgia" w:hAnsi="Georgia" w:cs="Georgia"/>
          <w:sz w:val="29"/>
          <w:sz-cs w:val="29"/>
          <w:spacing w:val="0"/>
        </w:rPr>
        <w:t xml:space="preserve"> Es la máxima autoridad. Se celebrará [ordinaria: frecuencia según tu ley estatal] y de forma extraordinaria cuando la convoque quien esté facultado.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2.2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Convocatoria.</w:t>
      </w:r>
      <w:r>
        <w:rPr>
          <w:rFonts w:ascii="Georgia" w:hAnsi="Georgia" w:cs="Georgia"/>
          <w:sz w:val="29"/>
          <w:sz-cs w:val="29"/>
          <w:spacing w:val="0"/>
        </w:rPr>
        <w:t xml:space="preserve"> Se emitirá con [número] días de anticipación —el plazo que marque tu ley estatal, o uno mayor si así lo acuerda la asamblea—, indicando quién convoca, tipo de asamblea, fecha, hora, lugar y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orden del día</w:t>
      </w:r>
      <w:r>
        <w:rPr>
          <w:rFonts w:ascii="Georgia" w:hAnsi="Georgia" w:cs="Georgia"/>
          <w:sz w:val="29"/>
          <w:sz-cs w:val="29"/>
          <w:spacing w:val="0"/>
        </w:rPr>
        <w:t xml:space="preserve">. Solo podrán tomarse acuerdos sobre puntos incluidos en el orden del día.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2.3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Medios de notificación.</w:t>
      </w:r>
      <w:r>
        <w:rPr>
          <w:rFonts w:ascii="Georgia" w:hAnsi="Georgia" w:cs="Georgia"/>
          <w:sz w:val="29"/>
          <w:sz-cs w:val="29"/>
          <w:spacing w:val="0"/>
        </w:rPr>
        <w:t xml:space="preserve"> La convocatoria se fijará en [lugares visibles: acceso principal, elevadores, caseta] y se enviará por [correo electrónico / portal de residentes / entrega en unidad], conservando constancia del envío.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2.4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Quórum y votación.</w:t>
      </w:r>
      <w:r>
        <w:rPr>
          <w:rFonts w:ascii="Georgia" w:hAnsi="Georgia" w:cs="Georgia"/>
          <w:sz w:val="29"/>
          <w:sz-cs w:val="29"/>
          <w:spacing w:val="0"/>
        </w:rPr>
        <w:t xml:space="preserve"> Se aplicarán los porcentajes que establezca [ley aplicable]. Salvo que la ley disponga otra cosa, el voto se pondera por el porcentaje de indiviso de cada unidad conforme a la tabla del Anexo A. </w:t>
      </w:r>
      <w:r>
        <w:rPr>
          <w:rFonts w:ascii="Georgia" w:hAnsi="Georgia" w:cs="Georgia"/>
          <w:sz w:val="29"/>
          <w:sz-cs w:val="29"/>
          <w:i/>
          <w:spacing w:val="0"/>
        </w:rPr>
        <w:t xml:space="preserve">(Verifica este punto: en algunos estados la regla legal es un voto por condómino, no por indiviso.)</w:t>
      </w:r>
      <w:r>
        <w:rPr>
          <w:rFonts w:ascii="Georgia" w:hAnsi="Georgia" w:cs="Georgia"/>
          <w:sz w:val="29"/>
          <w:sz-cs w:val="29"/>
          <w:spacing w:val="0"/>
        </w:rPr>
        <w:t xml:space="preserve"/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2.5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Representación.</w:t>
      </w:r>
      <w:r>
        <w:rPr>
          <w:rFonts w:ascii="Georgia" w:hAnsi="Georgia" w:cs="Georgia"/>
          <w:sz w:val="29"/>
          <w:sz-cs w:val="29"/>
          <w:spacing w:val="0"/>
        </w:rPr>
        <w:t xml:space="preserve"> Un condómino podrá hacerse representar mediante carta poder simple firmada por [número] testigos, que se registrará al inicio de la asamblea junto con la lista de asistencia.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2.6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Actas.</w:t>
      </w:r>
      <w:r>
        <w:rPr>
          <w:rFonts w:ascii="Georgia" w:hAnsi="Georgia" w:cs="Georgia"/>
          <w:sz w:val="29"/>
          <w:sz-cs w:val="29"/>
          <w:spacing w:val="0"/>
        </w:rPr>
        <w:t xml:space="preserve"> De cada asamblea se levantará acta en el libro respectivo, con lugar, fecha, hora de inicio y cierre, orden del día, lista de asistencia con porcentajes de indiviso, acuerdos con el resultado exacto de la votación, responsables y plazos, y firmas. Cualquier condómino podrá consultarla.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2.7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Administración.</w:t>
      </w:r>
      <w:r>
        <w:rPr>
          <w:rFonts w:ascii="Georgia" w:hAnsi="Georgia" w:cs="Georgia"/>
          <w:sz w:val="29"/>
          <w:sz-cs w:val="29"/>
          <w:spacing w:val="0"/>
        </w:rPr>
        <w:t xml:space="preserve"> El condominio será administrado por [administrador único / comité de administración], designado por la asamblea por un periodo de [duración], renovable. Sus facultades, obligaciones y remuneración son las de [ley aplicable] y las de este reglamento.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2.8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Comité de vigilancia.</w:t>
      </w:r>
      <w:r>
        <w:rPr>
          <w:rFonts w:ascii="Georgia" w:hAnsi="Georgia" w:cs="Georgia"/>
          <w:sz w:val="29"/>
          <w:sz-cs w:val="29"/>
          <w:spacing w:val="0"/>
        </w:rPr>
        <w:t xml:space="preserve"> Integrado por [número] condóminos electos en asamblea por [duración]. Supervisa a la administración, revisa el estado de cuenta y da el visto bueno a los informes financieros.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2.9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Remoción.</w:t>
      </w:r>
      <w:r>
        <w:rPr>
          <w:rFonts w:ascii="Georgia" w:hAnsi="Georgia" w:cs="Georgia"/>
          <w:sz w:val="29"/>
          <w:sz-cs w:val="29"/>
          <w:spacing w:val="0"/>
        </w:rPr>
        <w:t xml:space="preserve"> Serán causas de remoción del administrador o de los miembros del comité: incumplimiento de los acuerdos de asamblea; no rendir cuentas en los plazos de este reglamento; disponer de los fondos para fines distintos; incumplir [ley aplicable]; y [otras causas].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2.10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Ausencia temporal.</w:t>
      </w:r>
      <w:r>
        <w:rPr>
          <w:rFonts w:ascii="Georgia" w:hAnsi="Georgia" w:cs="Georgia"/>
          <w:sz w:val="29"/>
          <w:sz-cs w:val="29"/>
          <w:spacing w:val="0"/>
        </w:rPr>
        <w:t xml:space="preserve"> En caso de ausencia del administrador por más de [número] días, asumirá [suplente designado / el comité de vigilancia] hasta que la asamblea resuelva.</w:t>
      </w:r>
    </w:p>
    <w:p>
      <w:pPr>
        <w:spacing w:after="287"/>
      </w:pPr>
      <w:r>
        <w:rPr>
          <w:rFonts w:ascii="Georgia" w:hAnsi="Georgia" w:cs="Georgia"/>
          <w:sz w:val="34"/>
          <w:sz-cs w:val="34"/>
          <w:b/>
          <w:spacing w:val="0"/>
        </w:rPr>
        <w:t xml:space="preserve">Capítulo III — Cuotas y fondos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3.1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Cuota ordinaria de mantenimiento y administración.</w:t>
      </w:r>
      <w:r>
        <w:rPr>
          <w:rFonts w:ascii="Georgia" w:hAnsi="Georgia" w:cs="Georgia"/>
          <w:sz w:val="29"/>
          <w:sz-cs w:val="29"/>
          <w:spacing w:val="0"/>
        </w:rPr>
        <w:t xml:space="preserve"> Cada unidad aportará mensualmente la cantidad que resulte de aplicar [criterio: porcentaje de indiviso, conforme al Anexo A] al presupuesto anual aprobado en asamblea.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3.2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Fondo de reserva.</w:t>
      </w:r>
      <w:r>
        <w:rPr>
          <w:rFonts w:ascii="Georgia" w:hAnsi="Georgia" w:cs="Georgia"/>
          <w:sz w:val="29"/>
          <w:sz-cs w:val="29"/>
          <w:spacing w:val="0"/>
        </w:rPr>
        <w:t xml:space="preserve"> Se destinará el [porcentaje]% de la cuota ordinaria al fondo de reserva, que solo podrá usarse para [obras mayores, reposición de equipo, contingencias] previo acuerdo de asamblea.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3.3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Cuotas extraordinarias.</w:t>
      </w:r>
      <w:r>
        <w:rPr>
          <w:rFonts w:ascii="Georgia" w:hAnsi="Georgia" w:cs="Georgia"/>
          <w:sz w:val="29"/>
          <w:sz-cs w:val="29"/>
          <w:spacing w:val="0"/>
        </w:rPr>
        <w:t xml:space="preserve"> Se aprueban en asamblea, indicando siempre monto total, monto por unidad, calendario de pago y destino específico. No podrán destinarse a un fin distinto del aprobado.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3.4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Fecha de pago.</w:t>
      </w:r>
      <w:r>
        <w:rPr>
          <w:rFonts w:ascii="Georgia" w:hAnsi="Georgia" w:cs="Georgia"/>
          <w:sz w:val="29"/>
          <w:sz-cs w:val="29"/>
          <w:spacing w:val="0"/>
        </w:rPr>
        <w:t xml:space="preserve"> Las cuotas se cubren por adelantado, a más tardar el día [número] de cada mes.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3.5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Medios de pago.</w:t>
      </w:r>
      <w:r>
        <w:rPr>
          <w:rFonts w:ascii="Georgia" w:hAnsi="Georgia" w:cs="Georgia"/>
          <w:sz w:val="29"/>
          <w:sz-cs w:val="29"/>
          <w:spacing w:val="0"/>
        </w:rPr>
        <w:t xml:space="preserve"> [Transferencia a la cuenta del condominio / domiciliación / portal de residentes]. Todo pago genera comprobante. No se recibirán pagos en efectivo sin recibo foliado.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3.6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Estado de cuenta.</w:t>
      </w:r>
      <w:r>
        <w:rPr>
          <w:rFonts w:ascii="Georgia" w:hAnsi="Georgia" w:cs="Georgia"/>
          <w:sz w:val="29"/>
          <w:sz-cs w:val="29"/>
          <w:spacing w:val="0"/>
        </w:rPr>
        <w:t xml:space="preserve"> La administración pondrá a disposición de cada condómino su estado de cuenta [mensualmente / con la periodicidad que marque tu ley estatal], y el estado financiero del condominio [mensual/trimestral].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3.7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Intereses moratorios.</w:t>
      </w:r>
      <w:r>
        <w:rPr>
          <w:rFonts w:ascii="Georgia" w:hAnsi="Georgia" w:cs="Georgia"/>
          <w:sz w:val="29"/>
          <w:sz-cs w:val="29"/>
          <w:spacing w:val="0"/>
        </w:rPr>
        <w:t xml:space="preserve"> Las cuotas no cubiertas en tiempo generarán intereses moratorios a razón de [tasa], conforme a lo que permita [ley aplicable]. </w:t>
      </w:r>
      <w:r>
        <w:rPr>
          <w:rFonts w:ascii="Georgia" w:hAnsi="Georgia" w:cs="Georgia"/>
          <w:sz w:val="29"/>
          <w:sz-cs w:val="29"/>
          <w:i/>
          <w:spacing w:val="0"/>
        </w:rPr>
        <w:t xml:space="preserve">(Revisa el límite de tu estado: algunos fijan el tipo legal, otros lo remiten al reglamento, y varios prohíben capitalizarlos.)</w:t>
      </w:r>
      <w:r>
        <w:rPr>
          <w:rFonts w:ascii="Georgia" w:hAnsi="Georgia" w:cs="Georgia"/>
          <w:sz w:val="29"/>
          <w:sz-cs w:val="29"/>
          <w:spacing w:val="0"/>
        </w:rPr>
        <w:t xml:space="preserve"/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3.8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Procedimiento de cobro.</w:t>
      </w:r>
      <w:r>
        <w:rPr>
          <w:rFonts w:ascii="Georgia" w:hAnsi="Georgia" w:cs="Georgia"/>
          <w:sz w:val="29"/>
          <w:sz-cs w:val="29"/>
          <w:spacing w:val="0"/>
        </w:rPr>
        <w:t xml:space="preserve"> [Día 1-30: recordatorio; 31-60: notificación formal con estado de cuenta; 61+: notificación previa a la vía judicial]. El estado de cuenta se emitirá con los requisitos de firma y documentación que exija [ley aplicable] para tener aparejada ejecución.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3.9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Constancia de no adeudo.</w:t>
      </w:r>
      <w:r>
        <w:rPr>
          <w:rFonts w:ascii="Georgia" w:hAnsi="Georgia" w:cs="Georgia"/>
          <w:sz w:val="29"/>
          <w:sz-cs w:val="29"/>
          <w:spacing w:val="0"/>
        </w:rPr>
        <w:t xml:space="preserve"> La administración expedirá, a solicitud del condómino, constancia del estado que guarda su unidad. Será requisito para toda operación de compraventa.</w:t>
      </w:r>
    </w:p>
    <w:p>
      <w:pPr>
        <w:spacing w:after="287"/>
      </w:pPr>
      <w:r>
        <w:rPr>
          <w:rFonts w:ascii="Georgia" w:hAnsi="Georgia" w:cs="Georgia"/>
          <w:sz w:val="34"/>
          <w:sz-cs w:val="34"/>
          <w:b/>
          <w:spacing w:val="0"/>
        </w:rPr>
        <w:t xml:space="preserve">Capítulo IV — Uso de las unidades privativas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4.1 Cada unidad se destinará exclusivamente al uso previsto en la escritura constitutiva: [habitacional / comercial / mixto].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4.2 Ningún condómino podrá realizar obras que afecten la estructura, las instalaciones generales, la fachada o la seguridad del inmueble sin autorización previa por escrito de [la administración / la asamblea], acompañada de responsiva del director responsable de obra cuando corresponda.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4.3 Las obras dentro de la unidad se realizarán en horario de [horario], de [días], notificando a la administración con [número] días de anticipación.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4.4 Queda prohibido almacenar sustancias inflamables, explosivas o insalubres, y realizar actividades que produzcan ruido, olores o vibraciones que excedan lo razonable para la convivencia.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4.5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Arrendamiento.</w:t>
      </w:r>
      <w:r>
        <w:rPr>
          <w:rFonts w:ascii="Georgia" w:hAnsi="Georgia" w:cs="Georgia"/>
          <w:sz w:val="29"/>
          <w:sz-cs w:val="29"/>
          <w:spacing w:val="0"/>
        </w:rPr>
        <w:t xml:space="preserve"> El condómino que arriende su unidad deberá informar a la administración los datos de contacto del arrendatario y entregarle copia de este reglamento. El condómino sigue siendo responsable solidario del pago de cuotas y de los daños que cause el ocupante.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4.6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Estancias de corta duración.</w:t>
      </w:r>
      <w:r>
        <w:rPr>
          <w:rFonts w:ascii="Georgia" w:hAnsi="Georgia" w:cs="Georgia"/>
          <w:sz w:val="29"/>
          <w:sz-cs w:val="29"/>
          <w:spacing w:val="0"/>
        </w:rPr>
        <w:t xml:space="preserve"> [Definir la postura de la comunidad y verificar que sea compatible con el uso de suelo, la escritura y la normativa local.]</w:t>
      </w:r>
    </w:p>
    <w:p>
      <w:pPr>
        <w:spacing w:after="287"/>
      </w:pPr>
      <w:r>
        <w:rPr>
          <w:rFonts w:ascii="Georgia" w:hAnsi="Georgia" w:cs="Georgia"/>
          <w:sz w:val="34"/>
          <w:sz-cs w:val="34"/>
          <w:b/>
          <w:spacing w:val="0"/>
        </w:rPr>
        <w:t xml:space="preserve">Capítulo V — Áreas y bienes comunes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5.1 Son áreas comunes las señaladas en la escritura constitutiva. Ningún condómino podrá ocuparlas, obstruirlas ni destinarlas a uso exclusivo sin acuerdo de asamblea.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5.2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Horarios.</w:t>
      </w:r>
      <w:r>
        <w:rPr>
          <w:rFonts w:ascii="Georgia" w:hAnsi="Georgia" w:cs="Georgia"/>
          <w:sz w:val="29"/>
          <w:sz-cs w:val="29"/>
          <w:spacing w:val="0"/>
        </w:rPr>
        <w:t xml:space="preserve"> [Área: horario]. Ejemplo: alberca 7:00–21:00; gimnasio 5:00–23:00; salón de eventos hasta las 23:00 entre semana y 01:00 fines de semana.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5.3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Reservas.</w:t>
      </w:r>
      <w:r>
        <w:rPr>
          <w:rFonts w:ascii="Georgia" w:hAnsi="Georgia" w:cs="Georgia"/>
          <w:sz w:val="29"/>
          <w:sz-cs w:val="29"/>
          <w:spacing w:val="0"/>
        </w:rPr>
        <w:t xml:space="preserve"> Las amenidades reservables se apartan por [medio], con [anticipación mínima], [duración máxima] y [número] reservas por unidad al mes. Las cancelaciones se avisan con [tiempo] de anticipación.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5.4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Invitados.</w:t>
      </w:r>
      <w:r>
        <w:rPr>
          <w:rFonts w:ascii="Georgia" w:hAnsi="Georgia" w:cs="Georgia"/>
          <w:sz w:val="29"/>
          <w:sz-cs w:val="29"/>
          <w:spacing w:val="0"/>
        </w:rPr>
        <w:t xml:space="preserve"> Cada unidad podrá ingresar hasta [número] invitados a las amenidades. El condómino es responsable de su conducta y de los daños que causen.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5.5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Depósito en garantía.</w:t>
      </w:r>
      <w:r>
        <w:rPr>
          <w:rFonts w:ascii="Georgia" w:hAnsi="Georgia" w:cs="Georgia"/>
          <w:sz w:val="29"/>
          <w:sz-cs w:val="29"/>
          <w:spacing w:val="0"/>
        </w:rPr>
        <w:t xml:space="preserve"> Para el uso del [salón / roof garden] se dejará un depósito de [monto], reembolsable si el área se entrega sin daños y limpia.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5.6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Accesibilidad.</w:t>
      </w:r>
      <w:r>
        <w:rPr>
          <w:rFonts w:ascii="Georgia" w:hAnsi="Georgia" w:cs="Georgia"/>
          <w:sz w:val="29"/>
          <w:sz-cs w:val="29"/>
          <w:spacing w:val="0"/>
        </w:rPr>
        <w:t xml:space="preserve"> Los espacios destinados a personas con discapacidad —cajones, rampas, accesos— son de uso exclusivo de quien los requiera. Ocuparlos indebidamente es una falta [grado].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5.7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Estacionamiento.</w:t>
      </w:r>
      <w:r>
        <w:rPr>
          <w:rFonts w:ascii="Georgia" w:hAnsi="Georgia" w:cs="Georgia"/>
          <w:sz w:val="29"/>
          <w:sz-cs w:val="29"/>
          <w:spacing w:val="0"/>
        </w:rPr>
        <w:t xml:space="preserve"> Cada unidad tiene asignados los cajones que indica la escritura. Prohibido ocupar cajones ajenos, de visitas o de personas con discapacidad. Velocidad máxima: [número] km/h.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5.8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Áreas de servicio.</w:t>
      </w:r>
      <w:r>
        <w:rPr>
          <w:rFonts w:ascii="Georgia" w:hAnsi="Georgia" w:cs="Georgia"/>
          <w:sz w:val="29"/>
          <w:sz-cs w:val="29"/>
          <w:spacing w:val="0"/>
        </w:rPr>
        <w:t xml:space="preserve"> [Reglas de lavandería, bodegas, azotea, tendederos.]</w:t>
      </w:r>
    </w:p>
    <w:p>
      <w:pPr>
        <w:spacing w:after="287"/>
      </w:pPr>
      <w:r>
        <w:rPr>
          <w:rFonts w:ascii="Georgia" w:hAnsi="Georgia" w:cs="Georgia"/>
          <w:sz w:val="34"/>
          <w:sz-cs w:val="34"/>
          <w:b/>
          <w:spacing w:val="0"/>
        </w:rPr>
        <w:t xml:space="preserve">Capítulo VI — Convivencia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6.1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Ruido.</w:t>
      </w:r>
      <w:r>
        <w:rPr>
          <w:rFonts w:ascii="Georgia" w:hAnsi="Georgia" w:cs="Georgia"/>
          <w:sz w:val="29"/>
          <w:sz-cs w:val="29"/>
          <w:spacing w:val="0"/>
        </w:rPr>
        <w:t xml:space="preserve"> De [hora] a [hora] deberá guardarse silencio. Fuera de ese horario, el volumen no debe percibirse desde otra unidad ni desde las áreas comunes.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6.2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Animales de compañía.</w:t>
      </w:r>
      <w:r>
        <w:rPr>
          <w:rFonts w:ascii="Georgia" w:hAnsi="Georgia" w:cs="Georgia"/>
          <w:sz w:val="29"/>
          <w:sz-cs w:val="29"/>
          <w:spacing w:val="0"/>
        </w:rPr>
        <w:t xml:space="preserve"> Se permite su tenencia. En áreas comunes deberán ir [con correa / en transportadora], y la persona responsable recogerá sus desechos de inmediato. Número máximo por unidad: [número]. Los perros de asistencia no están sujetos a ninguna limitación y pueden acompañar a su persona en todas las áreas comunes. </w:t>
      </w:r>
      <w:r>
        <w:rPr>
          <w:rFonts w:ascii="Georgia" w:hAnsi="Georgia" w:cs="Georgia"/>
          <w:sz w:val="29"/>
          <w:sz-cs w:val="29"/>
          <w:i/>
          <w:spacing w:val="0"/>
        </w:rPr>
        <w:t xml:space="preserve">(No incluyas prohibiciones totales: en varios estados no son válidas.)</w:t>
      </w:r>
      <w:r>
        <w:rPr>
          <w:rFonts w:ascii="Georgia" w:hAnsi="Georgia" w:cs="Georgia"/>
          <w:sz w:val="29"/>
          <w:sz-cs w:val="29"/>
          <w:spacing w:val="0"/>
        </w:rPr>
        <w:t xml:space="preserve"/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6.3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Basura.</w:t>
      </w:r>
      <w:r>
        <w:rPr>
          <w:rFonts w:ascii="Georgia" w:hAnsi="Georgia" w:cs="Georgia"/>
          <w:sz w:val="29"/>
          <w:sz-cs w:val="29"/>
          <w:spacing w:val="0"/>
        </w:rPr>
        <w:t xml:space="preserve"> Se depositará en [lugar], separada en [criterio], en horario de [horario].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6.4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Mudanzas.</w:t>
      </w:r>
      <w:r>
        <w:rPr>
          <w:rFonts w:ascii="Georgia" w:hAnsi="Georgia" w:cs="Georgia"/>
          <w:sz w:val="29"/>
          <w:sz-cs w:val="29"/>
          <w:spacing w:val="0"/>
        </w:rPr>
        <w:t xml:space="preserve"> Se realizarán en horario de [horario], avisando con [número] días de anticipación y usando [acceso/elevador de servicio].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6.5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Fumar.</w:t>
      </w:r>
      <w:r>
        <w:rPr>
          <w:rFonts w:ascii="Georgia" w:hAnsi="Georgia" w:cs="Georgia"/>
          <w:sz w:val="29"/>
          <w:sz-cs w:val="29"/>
          <w:spacing w:val="0"/>
        </w:rPr>
        <w:t xml:space="preserve"> Prohibido en áreas comunes cerradas y en [otras áreas].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6.6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Convivencia digital.</w:t>
      </w:r>
      <w:r>
        <w:rPr>
          <w:rFonts w:ascii="Georgia" w:hAnsi="Georgia" w:cs="Georgia"/>
          <w:sz w:val="29"/>
          <w:sz-cs w:val="29"/>
          <w:spacing w:val="0"/>
        </w:rPr>
        <w:t xml:space="preserve"> Los grupos de mensajería de residentes son un canal informal: los avisos oficiales, las convocatorias y los estados de cuenta se emiten por [canal oficial] y solo esos tienen validez.</w:t>
      </w:r>
    </w:p>
    <w:p>
      <w:pPr>
        <w:spacing w:after="287"/>
      </w:pPr>
      <w:r>
        <w:rPr>
          <w:rFonts w:ascii="Georgia" w:hAnsi="Georgia" w:cs="Georgia"/>
          <w:sz w:val="34"/>
          <w:sz-cs w:val="34"/>
          <w:b/>
          <w:spacing w:val="0"/>
        </w:rPr>
        <w:t xml:space="preserve">Capítulo VII — Seguridad y protección civil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7.1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Control de acceso.</w:t>
      </w:r>
      <w:r>
        <w:rPr>
          <w:rFonts w:ascii="Georgia" w:hAnsi="Georgia" w:cs="Georgia"/>
          <w:sz w:val="29"/>
          <w:sz-cs w:val="29"/>
          <w:spacing w:val="0"/>
        </w:rPr>
        <w:t xml:space="preserve"> Todo visitante se registra en [caseta / sistema de acceso] con identificación y autorización del residente. La administración conservará el registro conforme a la normativa de datos personales aplicable.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7.2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Proveedores y personal doméstico.</w:t>
      </w:r>
      <w:r>
        <w:rPr>
          <w:rFonts w:ascii="Georgia" w:hAnsi="Georgia" w:cs="Georgia"/>
          <w:sz w:val="29"/>
          <w:sz-cs w:val="29"/>
          <w:spacing w:val="0"/>
        </w:rPr>
        <w:t xml:space="preserve"> Se registran con [datos], previa autorización del condómino, en horario de [horario].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7.3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Videovigilancia.</w:t>
      </w:r>
      <w:r>
        <w:rPr>
          <w:rFonts w:ascii="Georgia" w:hAnsi="Georgia" w:cs="Georgia"/>
          <w:sz w:val="29"/>
          <w:sz-cs w:val="29"/>
          <w:spacing w:val="0"/>
        </w:rPr>
        <w:t xml:space="preserve"> [Ubicación de las cámaras], con aviso visible. Las grabaciones se conservan [plazo] y solo se entregan a [autoridad competente / el condómino afectado, previa solicitud fundada].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7.4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Programa interno de protección civil.</w:t>
      </w:r>
      <w:r>
        <w:rPr>
          <w:rFonts w:ascii="Georgia" w:hAnsi="Georgia" w:cs="Georgia"/>
          <w:sz w:val="29"/>
          <w:sz-cs w:val="29"/>
          <w:spacing w:val="0"/>
        </w:rPr>
        <w:t xml:space="preserve"> El condominio mantendrá vigente su programa interno, con rutas de evacuación señalizadas, extintores con carga vigente, [número] simulacros al año y un directorio de emergencias publicado en [lugar].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7.5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Comité de seguridad.</w:t>
      </w:r>
      <w:r>
        <w:rPr>
          <w:rFonts w:ascii="Georgia" w:hAnsi="Georgia" w:cs="Georgia"/>
          <w:sz w:val="29"/>
          <w:sz-cs w:val="29"/>
          <w:spacing w:val="0"/>
        </w:rPr>
        <w:t xml:space="preserve"> [Integración, funciones y periodo, si aplica.]</w:t>
      </w:r>
    </w:p>
    <w:p>
      <w:pPr>
        <w:spacing w:after="287"/>
      </w:pPr>
      <w:r>
        <w:rPr>
          <w:rFonts w:ascii="Georgia" w:hAnsi="Georgia" w:cs="Georgia"/>
          <w:sz w:val="34"/>
          <w:sz-cs w:val="34"/>
          <w:b/>
          <w:spacing w:val="0"/>
        </w:rPr>
        <w:t xml:space="preserve">Capítulo VIII — Faltas y sanciones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8.1 Las faltas se clasifican en leves, graves y muy graves conforme a la tabla del Anexo B.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8.2 El procedimiento será: (i) notificación por escrito al condómino o poseedor, con descripción del hecho, fecha y disposición infringida; (ii) derecho de audiencia dentro de [número] días hábiles; (iii) resolución fundada de [la administración / el comité de vigilancia], notificada por escrito.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8.3 Las sanciones internas serán [amonestación por escrito / pena convencional de (monto o referencia) / suspensión temporal del uso de la amenidad afectada], sin perjuicio de la obligación de reparar el daño y de las sanciones que correspondan a la autoridad competente conforme a [ley aplicable].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8.4 La reincidencia dentro de [periodo] agrava la falta al grado inmediato superior.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8.5 </w:t>
      </w:r>
      <w:r>
        <w:rPr>
          <w:rFonts w:ascii="Georgia" w:hAnsi="Georgia" w:cs="Georgia"/>
          <w:sz w:val="29"/>
          <w:sz-cs w:val="29"/>
          <w:b/>
          <w:spacing w:val="0"/>
        </w:rPr>
        <w:t xml:space="preserve">Conflictos.</w:t>
      </w:r>
      <w:r>
        <w:rPr>
          <w:rFonts w:ascii="Georgia" w:hAnsi="Georgia" w:cs="Georgia"/>
          <w:sz w:val="29"/>
          <w:sz-cs w:val="29"/>
          <w:spacing w:val="0"/>
        </w:rPr>
        <w:t xml:space="preserve"> Antes de acudir a la vía judicial, las partes procurarán la conciliación ante [la administración / el comité de vigilancia / la instancia estatal, si tu estado la tiene].</w:t>
      </w:r>
    </w:p>
    <w:p>
      <w:pPr>
        <w:spacing w:after="287"/>
      </w:pPr>
      <w:r>
        <w:rPr>
          <w:rFonts w:ascii="Georgia" w:hAnsi="Georgia" w:cs="Georgia"/>
          <w:sz w:val="34"/>
          <w:sz-cs w:val="34"/>
          <w:b/>
          <w:spacing w:val="0"/>
        </w:rPr>
        <w:t xml:space="preserve">Capítulo IX — Modificación del reglamento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9.1 Este reglamento se modifica en [tipo de asamblea], con la mayoría que exija [ley aplicable] —verificar el porcentaje vigente antes de convocar—.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9.2 Toda propuesta de modificación se circulará por escrito a los condóminos con al menos [número] días de anticipación a la asamblea.</w:t>
      </w:r>
    </w:p>
    <w:p>
      <w:pPr>
        <w:spacing w:after="266"/>
      </w:pPr>
      <w:r>
        <w:rPr>
          <w:rFonts w:ascii="Georgia" w:hAnsi="Georgia" w:cs="Georgia"/>
          <w:sz w:val="29"/>
          <w:sz-cs w:val="29"/>
          <w:spacing w:val="0"/>
        </w:rPr>
        <w:t xml:space="preserve">9.3 Aprobada la modificación, el acta se protocolizará ante notario público y se registrará ante [la autoridad que corresponda en tu estado], y el texto vigente se publicará en [canal oficial] dentro de los [número] días siguientes.</w:t>
      </w:r>
    </w:p>
    <w:p>
      <w:pPr>
        <w:spacing w:after="287"/>
      </w:pPr>
      <w:r>
        <w:rPr>
          <w:rFonts w:ascii="Georgia" w:hAnsi="Georgia" w:cs="Georgia"/>
          <w:sz w:val="34"/>
          <w:sz-cs w:val="34"/>
          <w:b/>
          <w:spacing w:val="0"/>
        </w:rPr>
        <w:t xml:space="preserve">Anexos</w:t>
      </w:r>
    </w:p>
    <w:p>
      <w:pPr>
        <w:ind w:left="720" w:first-line="-720"/>
        <w:spacing w:after="160"/>
      </w:pPr>
      <w:r>
        <w:rPr>
          <w:rFonts w:ascii="Georgia" w:hAnsi="Georgia" w:cs="Georgia"/>
          <w:sz w:val="29"/>
          <w:sz-cs w:val="29"/>
          <w:b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29"/>
          <w:sz-cs w:val="29"/>
          <w:b/>
          <w:spacing w:val="0"/>
        </w:rPr>
        <w:t xml:space="preserve">Anexo A — Tabla de valores e indivisos</w:t>
      </w:r>
      <w:r>
        <w:rPr>
          <w:rFonts w:ascii="Georgia" w:hAnsi="Georgia" w:cs="Georgia"/>
          <w:sz w:val="29"/>
          <w:sz-cs w:val="29"/>
          <w:spacing w:val="0"/>
        </w:rPr>
        <w:t xml:space="preserve"> por unidad. </w:t>
      </w:r>
      <w:r>
        <w:rPr>
          <w:rFonts w:ascii="Georgia" w:hAnsi="Georgia" w:cs="Georgia"/>
          <w:sz w:val="29"/>
          <w:sz-cs w:val="29"/>
          <w:i/>
          <w:spacing w:val="0"/>
        </w:rPr>
        <w:t xml:space="preserve">(Obligatoria en la CDMX; debe actualizarse si la escritura cambia.)</w:t>
      </w:r>
      <w:r>
        <w:rPr>
          <w:rFonts w:ascii="Georgia" w:hAnsi="Georgia" w:cs="Georgia"/>
          <w:sz w:val="29"/>
          <w:sz-cs w:val="29"/>
          <w:spacing w:val="0"/>
        </w:rPr>
        <w:t xml:space="preserve"/>
      </w:r>
    </w:p>
    <w:p>
      <w:pPr>
        <w:ind w:left="720" w:first-line="-720"/>
        <w:spacing w:after="160"/>
      </w:pPr>
      <w:r>
        <w:rPr>
          <w:rFonts w:ascii="Georgia" w:hAnsi="Georgia" w:cs="Georgia"/>
          <w:sz w:val="29"/>
          <w:sz-cs w:val="29"/>
          <w:b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29"/>
          <w:sz-cs w:val="29"/>
          <w:b/>
          <w:spacing w:val="0"/>
        </w:rPr>
        <w:t xml:space="preserve">Anexo B — Catálogo de faltas y sanciones</w:t>
      </w:r>
      <w:r>
        <w:rPr>
          <w:rFonts w:ascii="Georgia" w:hAnsi="Georgia" w:cs="Georgia"/>
          <w:sz w:val="29"/>
          <w:sz-cs w:val="29"/>
          <w:spacing w:val="0"/>
        </w:rPr>
        <w:t xml:space="preserve">, clasificadas por gravedad.</w:t>
      </w:r>
    </w:p>
    <w:p>
      <w:pPr>
        <w:ind w:left="720" w:first-line="-720"/>
        <w:spacing w:after="160"/>
      </w:pPr>
      <w:r>
        <w:rPr>
          <w:rFonts w:ascii="Georgia" w:hAnsi="Georgia" w:cs="Georgia"/>
          <w:sz w:val="29"/>
          <w:sz-cs w:val="29"/>
          <w:b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29"/>
          <w:sz-cs w:val="29"/>
          <w:b/>
          <w:spacing w:val="0"/>
        </w:rPr>
        <w:t xml:space="preserve">Anexo C — Directorio</w:t>
      </w:r>
      <w:r>
        <w:rPr>
          <w:rFonts w:ascii="Georgia" w:hAnsi="Georgia" w:cs="Georgia"/>
          <w:sz w:val="29"/>
          <w:sz-cs w:val="29"/>
          <w:spacing w:val="0"/>
        </w:rPr>
        <w:t xml:space="preserve"> de administración, comité de vigilancia y emergencias.</w:t>
      </w:r>
    </w:p>
    <w:p>
      <w:pPr>
        <w:ind w:left="720" w:first-line="-720"/>
        <w:spacing w:after="160"/>
      </w:pPr>
      <w:r>
        <w:rPr>
          <w:rFonts w:ascii="Georgia" w:hAnsi="Georgia" w:cs="Georgia"/>
          <w:sz w:val="29"/>
          <w:sz-cs w:val="29"/>
          <w:b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29"/>
          <w:sz-cs w:val="29"/>
          <w:b/>
          <w:spacing w:val="0"/>
        </w:rPr>
        <w:t xml:space="preserve">Anexo D — Formatos</w:t>
      </w:r>
      <w:r>
        <w:rPr>
          <w:rFonts w:ascii="Georgia" w:hAnsi="Georgia" w:cs="Georgia"/>
          <w:sz w:val="29"/>
          <w:sz-cs w:val="29"/>
          <w:spacing w:val="0"/>
        </w:rPr>
        <w:t xml:space="preserve">: solicitud de reserva de amenidad, aviso de mudanza, aviso de obra, carta poder para asamblea.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CocoaOOXMLWriter/2685.4</generator>
</meta>
</file>